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36" w:rsidRPr="00F84536" w:rsidRDefault="00F84536" w:rsidP="00F84536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F8453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 xml:space="preserve">ECFA簽署一週年成效檢驗－落實「三不」承諾　</w:t>
      </w:r>
      <w:proofErr w:type="gramStart"/>
      <w:r w:rsidRPr="00F8453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執</w:t>
      </w:r>
      <w:proofErr w:type="gramEnd"/>
      <w:r w:rsidRPr="00F8453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行效益逐漸擴大</w:t>
      </w:r>
    </w:p>
    <w:p w:rsidR="00F84536" w:rsidRDefault="00F84536" w:rsidP="00F8453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日期:2011-06-28</w:t>
      </w:r>
    </w:p>
    <w:p w:rsidR="00F84536" w:rsidRPr="00F84536" w:rsidRDefault="00F84536" w:rsidP="00F8453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http://www.mac.gov.tw/ct.asp?xItem=95953&amp;ctNode=5650&amp;mp=1</w:t>
      </w:r>
    </w:p>
    <w:p w:rsidR="00F84536" w:rsidRPr="00F84536" w:rsidRDefault="00F84536" w:rsidP="00F8453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一、政府的承諾「說到做到」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2009年2月政府宣布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在「以台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人民有利」的前提下，開始推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與大陸協商簽署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合作架構協議（ECFA），當時政府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ECFA定位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岸經貿正常化的路線圖」，以及「重返世界經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舞台的敲門磚」，同時也承諾「三不」，亦即洽簽ECFA「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矮化主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」、「不開放大陸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台」、「不擴大開放大陸農產品進口」，今天正好是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岸簽署ECFA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滿一年，現在回顧，無論逐字檢視協議文本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容或是檢驗協議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行的成果，政府不僅履行了當初「三不」的承諾，更進一步守護及提升台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農民、中小企業及廣大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工的利益。</w:t>
      </w:r>
    </w:p>
    <w:p w:rsidR="00F84536" w:rsidRPr="00F84536" w:rsidRDefault="00F84536" w:rsidP="00F8453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二、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岸經貿制度化有序推展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岸經貿關係密切發展是2000年以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逐步發展的結果，並非2008年才開始，在全球經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加大區域經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整合的趨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下，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岸經貿關係已是政府擬定台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發展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略時無法忽視的重要環節。經由雙方協商，ECFA律定了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岸經貿往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的規則，讓投資者及民眾有所遵循、預期，有助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改善台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整體投資環境，並進一步提升競爭力。ECFA作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架構性的協議，在生效之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，雙方已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啟動兩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岸貨品貿易、服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貿易、爭端解決、投資等協議之協商，並開展海關合作、產業合作、雙方經貿團體互設辦事機構等經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合作事項，明確了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岸經貿發展的路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徑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圖，有序推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並提升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岸經貿往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制度化保障。</w:t>
      </w:r>
    </w:p>
    <w:p w:rsidR="00F84536" w:rsidRPr="00F84536" w:rsidRDefault="00F84536" w:rsidP="00F8453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三、重返世界經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舞台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岸簽署ECFA普遍獲得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際社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肯定及企業界歡迎，有效提高其他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家與我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簽署FTA 或類似經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合作協議的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機。除新加坡與我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國於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2010年8月5日共同宣示展開洽簽經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夥伴協議（ASTEP）可行性研究，並積極推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外，今年以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菲律賓、印尼、歐盟、印度等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先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表態，願與我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加強雙邊經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合作。歐洲議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更決議，支持台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與歐盟簽署經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合作協議。雖然特定媒體及人士刻意忽視此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良性發展，並譏評政府跳票、一事無成，但事實證明，如果沒有ECFA，台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重返世界經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舞台的過程不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如此順利，ECFA已如實扮演敲門磚的角色。</w:t>
      </w:r>
    </w:p>
    <w:p w:rsidR="00F84536" w:rsidRPr="00F84536" w:rsidRDefault="00F84536" w:rsidP="00F84536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四、ECFA效益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（一）貿易成長，但未「傾中」。今（100）年元旦ECFA早收清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開始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，預期的貿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易效益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已逐漸顯現。依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海關統計，今年1至5月不僅我出口大陸（含香港）的金額較去年同期增加11.1％，同期間，台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灣對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東協六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的出口亦較去年同期成長29.9％，而台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出口到大陸（含香港）的金額占出口總金額的比重，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去年的43.3％，降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40.7％，顯示在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外整體貿易成長的同時，並未發生「傾中」的現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象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（二）農民受益增加。政府不但做到不擴大開放大陸農產品進口、已開放進口的不降稅，進一步爭取到的18項台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農漁產品減免關稅輸銷大陸，並已產生顯著的成效。依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農委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統計，ECFA早收農產品今年1至5月外銷大陸出口值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4,942萬美元，較去年同期790萬美元，大幅成長5.26倍，其中以石斑魚、茶葉、冷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凍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秋刀魚及生鮮甲魚蛋等表現最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顯著。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（三）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工就業增加、薪資提高。ECFA簽署之前，特定媒體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ECFA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衝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590萬就業人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，沖垮321萬白領，月薪剩1萬元，但事實證明，去年ECFA簽署以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失業率逐月下降，今年5月失業率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4.27％，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近33個月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最低；根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主計處調查，今年1至4月平均薪資達52,505元，較去年全年平均薪資提高8,075元，不實的批評，已不攻自破。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（四）台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整體競爭力提升。根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瑞士洛桑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際管理學院（IMD）公布2011年世界競爭力年鑑，台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灣從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2010年的第8名進步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第6名；美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商業環境風險評估公司（BERI）2011年4月發布之投資環境評估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告指出，我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的投資環境評比（POR）排名全球第4名，在亞洲排名第2名，顯示當初政府希望用ECFA「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助人民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作生意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，提升台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競爭力」的政策目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正確，且已有成效。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五、主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無虞、人民支持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（一）ECFA簽署之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，相關經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效益陸續呈現，表達有意與我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商簽經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協議的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家增加，予我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免簽待遇的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家也增到115個，在在顯示ECFA只是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個經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協議，與政治無關，不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損及台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。反而可因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我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競爭力提升，讓其他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國家更加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注意並肯定台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的主體性。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（二）在ECFA簽署之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，依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本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委託的民調，有超過六成以上的民眾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整體協商成果感到滿意。依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今年5月，本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委託政治大學選舉研究中心所作最新民調，有46.1％的民眾認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兩岸交流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的速度剛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剛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好，認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太快的占32.6％，太慢的占13.0％，相關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數據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顯示，在ECFA實施一段時間之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，大致而言，民眾的感受以正面居多。</w:t>
      </w:r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（三）未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政府仍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在「以台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人民有利」之原則下，落實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行ECFA並循序推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動後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續協議及經</w:t>
      </w:r>
      <w:proofErr w:type="gramStart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84536">
        <w:rPr>
          <w:rFonts w:ascii="宋体" w:eastAsia="宋体" w:hAnsi="宋体" w:cs="宋体"/>
          <w:color w:val="333333"/>
          <w:kern w:val="0"/>
          <w:sz w:val="24"/>
          <w:szCs w:val="24"/>
        </w:rPr>
        <w:t>合作事項的協商，以逐步擴大ECFA的效益。</w:t>
      </w:r>
    </w:p>
    <w:p w:rsidR="003A350D" w:rsidRDefault="003A350D">
      <w:pPr>
        <w:rPr>
          <w:rFonts w:hint="eastAsia"/>
        </w:rPr>
      </w:pPr>
    </w:p>
    <w:sectPr w:rsidR="003A350D" w:rsidSect="003A3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DB" w:rsidRDefault="00701BDB" w:rsidP="00F84536">
      <w:r>
        <w:separator/>
      </w:r>
    </w:p>
  </w:endnote>
  <w:endnote w:type="continuationSeparator" w:id="0">
    <w:p w:rsidR="00701BDB" w:rsidRDefault="00701BDB" w:rsidP="00F8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DB" w:rsidRDefault="00701BDB" w:rsidP="00F84536">
      <w:r>
        <w:separator/>
      </w:r>
    </w:p>
  </w:footnote>
  <w:footnote w:type="continuationSeparator" w:id="0">
    <w:p w:rsidR="00701BDB" w:rsidRDefault="00701BDB" w:rsidP="00F8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4E1D"/>
    <w:multiLevelType w:val="multilevel"/>
    <w:tmpl w:val="711A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536"/>
    <w:rsid w:val="003A350D"/>
    <w:rsid w:val="00701BDB"/>
    <w:rsid w:val="00914483"/>
    <w:rsid w:val="00F8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36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4</cp:revision>
  <dcterms:created xsi:type="dcterms:W3CDTF">2013-11-28T05:41:00Z</dcterms:created>
  <dcterms:modified xsi:type="dcterms:W3CDTF">2013-11-28T05:42:00Z</dcterms:modified>
</cp:coreProperties>
</file>